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0"/>
        <w:gridCol w:w="9500"/>
      </w:tblGrid>
      <w:tr w:rsidR="001C502C" w:rsidRPr="007906C6" w:rsidTr="002F5CF2">
        <w:trPr>
          <w:cantSplit/>
          <w:trHeight w:hRule="exact" w:val="794"/>
        </w:trPr>
        <w:tc>
          <w:tcPr>
            <w:tcW w:w="720" w:type="dxa"/>
          </w:tcPr>
          <w:p w:rsidR="001C502C" w:rsidRPr="007906C6" w:rsidRDefault="00AA0951">
            <w:pPr>
              <w:pStyle w:val="Textopadro1"/>
              <w:tabs>
                <w:tab w:val="left" w:pos="495"/>
              </w:tabs>
              <w:ind w:right="-151"/>
              <w:rPr>
                <w:rFonts w:ascii="Garamond" w:hAnsi="Garamond" w:cs="Arial"/>
                <w:color w:val="000000"/>
              </w:rPr>
            </w:pPr>
            <w:r w:rsidRPr="007906C6">
              <w:rPr>
                <w:rFonts w:ascii="Garamond" w:hAnsi="Garamond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24765</wp:posOffset>
                  </wp:positionV>
                  <wp:extent cx="361950" cy="457200"/>
                  <wp:effectExtent l="0" t="0" r="0" b="0"/>
                  <wp:wrapTopAndBottom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</w:tcPr>
          <w:p w:rsidR="001C502C" w:rsidRPr="007906C6" w:rsidRDefault="001C502C" w:rsidP="002F5CF2">
            <w:pPr>
              <w:pStyle w:val="Textopadro1"/>
              <w:spacing w:before="20"/>
              <w:rPr>
                <w:rFonts w:ascii="Garamond" w:hAnsi="Garamond" w:cs="Arial"/>
                <w:b/>
                <w:bCs/>
                <w:color w:val="000000"/>
                <w:sz w:val="2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>ESTADO DE SANTA CATARINA</w:t>
            </w:r>
          </w:p>
          <w:p w:rsidR="001C502C" w:rsidRPr="007906C6" w:rsidRDefault="001C502C" w:rsidP="002F5CF2">
            <w:pPr>
              <w:pStyle w:val="Textopadro1"/>
              <w:spacing w:before="20"/>
              <w:rPr>
                <w:rFonts w:ascii="Garamond" w:hAnsi="Garamond" w:cs="Arial"/>
                <w:b/>
                <w:bCs/>
                <w:color w:val="000000"/>
                <w:sz w:val="2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>TRIBUNAL DE CONTAS DO ESTADO</w:t>
            </w:r>
          </w:p>
          <w:p w:rsidR="001C502C" w:rsidRPr="007906C6" w:rsidRDefault="009F188A" w:rsidP="00594C43">
            <w:pPr>
              <w:pStyle w:val="Textopadro1"/>
              <w:spacing w:before="20"/>
              <w:rPr>
                <w:rFonts w:ascii="Garamond" w:hAnsi="Garamond" w:cs="Arial"/>
                <w:b/>
                <w:bCs/>
                <w:color w:val="000000"/>
                <w:sz w:val="2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 xml:space="preserve">Diretoria </w:t>
            </w:r>
            <w:r w:rsidR="00594C43"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>de</w:t>
            </w:r>
            <w:r w:rsidR="00C06915"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 xml:space="preserve"> Controle de</w:t>
            </w:r>
            <w:r w:rsidR="00594C43"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 xml:space="preserve"> Licitações e Contratações – DLC</w:t>
            </w:r>
          </w:p>
        </w:tc>
        <w:tc>
          <w:tcPr>
            <w:tcW w:w="9500" w:type="dxa"/>
          </w:tcPr>
          <w:p w:rsidR="001C502C" w:rsidRPr="007906C6" w:rsidRDefault="001C502C">
            <w:pPr>
              <w:pStyle w:val="Textopadro"/>
              <w:rPr>
                <w:rFonts w:ascii="Garamond" w:hAnsi="Garamond" w:cs="Arial"/>
                <w:b/>
                <w:bCs/>
                <w:color w:val="000000"/>
              </w:rPr>
            </w:pPr>
          </w:p>
          <w:p w:rsidR="001C502C" w:rsidRPr="007906C6" w:rsidRDefault="001C502C" w:rsidP="009E5FAF">
            <w:pPr>
              <w:pStyle w:val="Textopadro"/>
              <w:ind w:left="5953" w:hanging="5953"/>
              <w:rPr>
                <w:rFonts w:ascii="Garamond" w:hAnsi="Garamond" w:cs="Arial"/>
                <w:b/>
                <w:bCs/>
                <w:color w:val="00000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</w:rPr>
              <w:t>MATRIZ DE PLANEJAMENTO</w:t>
            </w:r>
            <w:r w:rsidR="009E5FAF">
              <w:rPr>
                <w:rFonts w:ascii="Garamond" w:hAnsi="Garamond" w:cs="Arial"/>
                <w:b/>
                <w:bCs/>
                <w:color w:val="000000"/>
              </w:rPr>
              <w:t xml:space="preserve"> (Programa de Auditoria NAG 1120 e 4313.1)</w:t>
            </w:r>
          </w:p>
          <w:p w:rsidR="001C502C" w:rsidRPr="007906C6" w:rsidRDefault="001C502C">
            <w:pPr>
              <w:pStyle w:val="Textopadro1"/>
              <w:ind w:right="-7147"/>
              <w:jc w:val="both"/>
              <w:rPr>
                <w:rFonts w:ascii="Garamond" w:hAnsi="Garamond" w:cs="Arial"/>
                <w:color w:val="000000"/>
              </w:rPr>
            </w:pPr>
          </w:p>
        </w:tc>
      </w:tr>
    </w:tbl>
    <w:p w:rsidR="001C502C" w:rsidRPr="007906C6" w:rsidRDefault="001C502C" w:rsidP="00757C7F">
      <w:pPr>
        <w:pStyle w:val="Textopadro"/>
        <w:jc w:val="both"/>
        <w:rPr>
          <w:rFonts w:ascii="Garamond" w:hAnsi="Garamond" w:cs="Arial"/>
          <w:b/>
          <w:bCs/>
          <w:color w:val="000000"/>
          <w:sz w:val="4"/>
          <w:szCs w:val="4"/>
        </w:rPr>
      </w:pPr>
    </w:p>
    <w:tbl>
      <w:tblPr>
        <w:tblW w:w="16160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268"/>
        <w:gridCol w:w="13892"/>
      </w:tblGrid>
      <w:tr w:rsidR="00176057" w:rsidRPr="0025259B" w:rsidTr="00AC2C5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76057" w:rsidRPr="0025259B" w:rsidRDefault="00176057" w:rsidP="00D25357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Órgão/Entidade:</w:t>
            </w:r>
          </w:p>
        </w:tc>
        <w:tc>
          <w:tcPr>
            <w:tcW w:w="1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76057" w:rsidRPr="0025259B" w:rsidRDefault="00176057" w:rsidP="00A25C8C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/>
                <w:sz w:val="28"/>
                <w:szCs w:val="28"/>
              </w:rPr>
              <w:t xml:space="preserve">Prefeitura Municipal de </w:t>
            </w:r>
            <w:r w:rsidR="00A25C8C" w:rsidRPr="0025259B">
              <w:rPr>
                <w:rFonts w:ascii="Garamond" w:hAnsi="Garamond"/>
                <w:sz w:val="28"/>
                <w:szCs w:val="28"/>
              </w:rPr>
              <w:t>São Bonifácio</w:t>
            </w:r>
          </w:p>
        </w:tc>
      </w:tr>
      <w:tr w:rsidR="00176057" w:rsidRPr="0025259B" w:rsidTr="00AC2C5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76057" w:rsidRPr="0025259B" w:rsidRDefault="00176057" w:rsidP="00594C43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Objetivo Geral: </w:t>
            </w:r>
          </w:p>
        </w:tc>
        <w:tc>
          <w:tcPr>
            <w:tcW w:w="1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2C54" w:rsidRDefault="00FF34B7" w:rsidP="0025259B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Verificar o andamento das obras de 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construção </w:t>
            </w:r>
            <w:r w:rsidR="0025259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da Escola Santa Lourdes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na comunidade de Santa Maria com área de </w:t>
            </w:r>
            <w:r w:rsidR="0025259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5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.266,72 m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  <w:vertAlign w:val="superscript"/>
              </w:rPr>
              <w:t>2</w:t>
            </w:r>
            <w:r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, no Mun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icípio de São Bonifácio</w:t>
            </w:r>
            <w:r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, no valor de R$</w:t>
            </w:r>
            <w:r w:rsidR="00AC2C54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</w:t>
            </w:r>
            <w:r w:rsidR="0025259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7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.099.999,99.</w:t>
            </w:r>
          </w:p>
          <w:p w:rsidR="00176057" w:rsidRPr="0025259B" w:rsidRDefault="0025259B" w:rsidP="0025259B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sz w:val="28"/>
                <w:szCs w:val="28"/>
                <w:u w:val="single"/>
              </w:rPr>
              <w:t>Obra encontra-se em andamento, com execução de estrutura, alvenarias e revestimentos.</w:t>
            </w:r>
          </w:p>
        </w:tc>
      </w:tr>
    </w:tbl>
    <w:p w:rsidR="0025259B" w:rsidRDefault="0025259B">
      <w:pPr>
        <w:rPr>
          <w:rFonts w:ascii="Garamond" w:hAnsi="Garamond"/>
          <w:sz w:val="28"/>
          <w:szCs w:val="28"/>
        </w:rPr>
      </w:pPr>
    </w:p>
    <w:tbl>
      <w:tblPr>
        <w:tblW w:w="1582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2"/>
        <w:gridCol w:w="6946"/>
        <w:gridCol w:w="6322"/>
      </w:tblGrid>
      <w:tr w:rsidR="00A96C07" w:rsidRPr="0025259B" w:rsidTr="00AD045F">
        <w:trPr>
          <w:trHeight w:val="510"/>
          <w:tblHeader/>
        </w:trPr>
        <w:tc>
          <w:tcPr>
            <w:tcW w:w="2552" w:type="dxa"/>
            <w:shd w:val="clear" w:color="auto" w:fill="F2F2F2"/>
          </w:tcPr>
          <w:p w:rsidR="00A96C07" w:rsidRPr="0025259B" w:rsidRDefault="00A96C07" w:rsidP="00225E88">
            <w:pPr>
              <w:pStyle w:val="Textopadro"/>
              <w:spacing w:before="120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Questões de Auditoria</w:t>
            </w:r>
          </w:p>
        </w:tc>
        <w:tc>
          <w:tcPr>
            <w:tcW w:w="6946" w:type="dxa"/>
            <w:shd w:val="clear" w:color="auto" w:fill="F2F2F2"/>
          </w:tcPr>
          <w:p w:rsidR="00A96C07" w:rsidRPr="0025259B" w:rsidRDefault="00A96C07" w:rsidP="009E5FAF">
            <w:pPr>
              <w:pStyle w:val="Textopadro"/>
              <w:spacing w:before="120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Possíveis Achados </w:t>
            </w:r>
          </w:p>
        </w:tc>
        <w:tc>
          <w:tcPr>
            <w:tcW w:w="6322" w:type="dxa"/>
            <w:shd w:val="clear" w:color="auto" w:fill="F2F2F2"/>
          </w:tcPr>
          <w:p w:rsidR="00A96C07" w:rsidRPr="0025259B" w:rsidRDefault="00A96C07" w:rsidP="009E5FAF">
            <w:pPr>
              <w:pStyle w:val="Textopadro"/>
              <w:spacing w:before="120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Procedimentos </w:t>
            </w:r>
            <w:proofErr w:type="spellStart"/>
            <w:r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Ibraop</w:t>
            </w:r>
            <w:proofErr w:type="spellEnd"/>
            <w:r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/IRB utilizados</w:t>
            </w:r>
            <w:r w:rsidR="00AD045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D045F" w:rsidRPr="00AD045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(exemplos)</w:t>
            </w:r>
          </w:p>
        </w:tc>
      </w:tr>
      <w:tr w:rsidR="00A96C07" w:rsidRPr="0025259B" w:rsidTr="00AD045F">
        <w:trPr>
          <w:cantSplit/>
          <w:trHeight w:val="5790"/>
        </w:trPr>
        <w:tc>
          <w:tcPr>
            <w:tcW w:w="2552" w:type="dxa"/>
          </w:tcPr>
          <w:p w:rsidR="00A96C07" w:rsidRPr="0025259B" w:rsidRDefault="00A96C07" w:rsidP="001424F6">
            <w:pPr>
              <w:pStyle w:val="Textopadro"/>
              <w:spacing w:before="20" w:after="20"/>
              <w:ind w:left="91" w:hanging="91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1. A obra está sendo executada em conformidade com os </w:t>
            </w:r>
            <w:r w:rsidRPr="001424F6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projetos e</w:t>
            </w: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 memorial descritivo especificado pela contratante?</w:t>
            </w:r>
          </w:p>
        </w:tc>
        <w:tc>
          <w:tcPr>
            <w:tcW w:w="6946" w:type="dxa"/>
          </w:tcPr>
          <w:p w:rsidR="00A96C07" w:rsidRPr="0025259B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Execução de obra em desconformidade com os projetos e especificações, contrariando art. 66 c/c 69 da Lei de Licitações (Lei Federal n.º 8.666/93).</w:t>
            </w:r>
          </w:p>
          <w:p w:rsidR="00A96C07" w:rsidRPr="0025259B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</w:t>
            </w:r>
            <w:r w:rsidR="002A4E6C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Pagamento e/ou liquidação irregular da despesa, com ou sem dano ao Erário, por medição/pagamento por serviços em quantidade e/ou qualidade inferior ao contratado/medido, contrariando os artigos 62 e 63 da Lei Federal nº 4.320/64.</w:t>
            </w:r>
          </w:p>
          <w:p w:rsidR="00A96C07" w:rsidRPr="0025259B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Deficiência da fiscalização em função de execução por serviços em quantidade e/ou qualidade inferior ao contratado/medido, contrariando o art. 67, caput, da Lei Federal nº 8.666/93.</w:t>
            </w:r>
          </w:p>
          <w:p w:rsidR="00A96C07" w:rsidRPr="0025259B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Deficiência do Projeto Básico, em função do “projeto de arquitetura”, memorial descritivo e/ou especificações técnicas, partes integrantes do projeto básico, estarem em desconformidade com os requisitos estabelecidos no art. 6º, inciso IX, c/c 12, da Lei Federal nº 8.666/93.</w:t>
            </w:r>
          </w:p>
        </w:tc>
        <w:tc>
          <w:tcPr>
            <w:tcW w:w="6322" w:type="dxa"/>
          </w:tcPr>
          <w:p w:rsidR="00A96C07" w:rsidRPr="00A96C07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</w:t>
            </w:r>
            <w:hyperlink r:id="rId10" w:history="1"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PROC-IBR-EDI</w:t>
              </w:r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F</w:t>
              </w:r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 xml:space="preserve"> </w:t>
              </w:r>
              <w:r w:rsidR="00AC2C54"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0</w:t>
              </w:r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37/2015</w:t>
              </w:r>
            </w:hyperlink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- </w:t>
            </w:r>
            <w:r w:rsidRPr="00A96C07">
              <w:rPr>
                <w:rFonts w:ascii="Garamond" w:hAnsi="Garamond" w:cs="Arial"/>
                <w:color w:val="000000"/>
                <w:sz w:val="28"/>
                <w:szCs w:val="28"/>
              </w:rPr>
              <w:t>Verificar a qualidade e a quantidade dos serviços na execução de estruturas de concreto armado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>.</w:t>
            </w:r>
          </w:p>
          <w:p w:rsidR="00A96C07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</w:t>
            </w:r>
            <w:hyperlink r:id="rId11" w:history="1"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PROC-IBR-E</w:t>
              </w:r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D</w:t>
              </w:r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IF</w:t>
              </w:r>
              <w:r w:rsidR="00AC2C54"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 xml:space="preserve"> </w:t>
              </w:r>
              <w:r w:rsidR="00AC2C54"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0</w:t>
              </w:r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38/2015</w:t>
              </w:r>
            </w:hyperlink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-</w:t>
            </w:r>
            <w:r w:rsidR="00AC2C5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A96C07">
              <w:rPr>
                <w:rFonts w:ascii="Garamond" w:hAnsi="Garamond" w:cs="Arial"/>
                <w:color w:val="000000"/>
                <w:sz w:val="28"/>
                <w:szCs w:val="28"/>
              </w:rPr>
              <w:t>Verificar a qualidade e a quantidade dos serviços na execução de revestimentos em paredes e tetos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>.</w:t>
            </w:r>
          </w:p>
          <w:p w:rsidR="00A96C07" w:rsidRPr="00A96C07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</w:t>
            </w:r>
            <w:hyperlink r:id="rId12" w:history="1"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PROC-IBR-EDIF 0</w:t>
              </w:r>
              <w:bookmarkStart w:id="0" w:name="_GoBack"/>
              <w:bookmarkEnd w:id="0"/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4</w:t>
              </w:r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2/2015</w:t>
              </w:r>
            </w:hyperlink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- </w:t>
            </w:r>
            <w:r w:rsidRPr="00A96C07">
              <w:rPr>
                <w:rFonts w:ascii="Garamond" w:hAnsi="Garamond" w:cs="Arial"/>
                <w:color w:val="000000"/>
                <w:sz w:val="28"/>
                <w:szCs w:val="28"/>
              </w:rPr>
              <w:t>Verificar a qualidade e a quantidade dos serviços na execução de alvenaria de vedação interna e externa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>.</w:t>
            </w:r>
          </w:p>
          <w:p w:rsidR="00A96C07" w:rsidRPr="00A96C07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</w:t>
            </w:r>
            <w:hyperlink r:id="rId13" w:history="1"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PROC IBR EDIF 053/2015</w:t>
              </w:r>
            </w:hyperlink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- </w:t>
            </w:r>
            <w:r w:rsidRPr="00A96C07">
              <w:rPr>
                <w:rFonts w:ascii="Garamond" w:hAnsi="Garamond" w:cs="Arial"/>
                <w:color w:val="000000"/>
                <w:sz w:val="28"/>
                <w:szCs w:val="28"/>
              </w:rPr>
              <w:t>Verificar a qualidade e a quantidade dos serviços na execução de pisos e rodapés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>.</w:t>
            </w:r>
          </w:p>
          <w:p w:rsidR="00A96C07" w:rsidRDefault="00A96C07" w:rsidP="00A96C07">
            <w:pPr>
              <w:pStyle w:val="Textopadro"/>
              <w:spacing w:before="20" w:after="20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A96C07" w:rsidRPr="0025259B" w:rsidRDefault="00A96C07" w:rsidP="00A96C07">
            <w:pPr>
              <w:pStyle w:val="Textopadro"/>
              <w:spacing w:before="20" w:after="20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</w:tr>
      <w:tr w:rsidR="00A96C07" w:rsidRPr="0025259B" w:rsidTr="00AD045F">
        <w:trPr>
          <w:cantSplit/>
          <w:trHeight w:val="5790"/>
        </w:trPr>
        <w:tc>
          <w:tcPr>
            <w:tcW w:w="2552" w:type="dxa"/>
          </w:tcPr>
          <w:p w:rsidR="00A96C07" w:rsidRPr="0025259B" w:rsidRDefault="00A96C07" w:rsidP="00AC2C54">
            <w:pPr>
              <w:pStyle w:val="Textopadro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lastRenderedPageBreak/>
              <w:t>2. A obra está sendo medida e paga em conformidade com os serviços efetivamente executados?</w:t>
            </w:r>
          </w:p>
        </w:tc>
        <w:tc>
          <w:tcPr>
            <w:tcW w:w="6946" w:type="dxa"/>
          </w:tcPr>
          <w:p w:rsidR="00A96C07" w:rsidRPr="0025259B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Execução de obra em desconformidade com os projetos e especificações, contrariando art. 66 c/c 69 da Lei de Licitações (Lei Federal n.º 8.666/93).</w:t>
            </w:r>
          </w:p>
          <w:p w:rsidR="00A96C07" w:rsidRPr="0025259B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</w:t>
            </w:r>
            <w:r w:rsidR="002A4E6C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Pagamento e/ou liquidação irregular da despesa, com ou sem dano ao Erário, por medição/pagamento por serviços em quantidade e/ou qualidade inferior ao contratado/medido, contrariando os artigos 62 e 63 da Lei Federal nº 4.320/64.</w:t>
            </w:r>
          </w:p>
          <w:p w:rsidR="00A96C07" w:rsidRPr="0025259B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Deficiência da fiscalização em função de execução por serviços em quantidade e/ou qualidade inferior ao contratado/medido, contrariando o art. 67, caput, da Lei Federal nº 8.666/93.</w:t>
            </w:r>
          </w:p>
          <w:p w:rsidR="00A96C07" w:rsidRPr="0025259B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Deficiência do Projeto Básico, em função do “projeto de arquitetura”, memorial descritivo e/ou especificações técnicas, partes integrantes do projeto básico, estarem em desconformidade com os requisitos estabelecidos no art. 6º, inciso IX, c/c 12, da Lei Federal nº 8.666/93.</w:t>
            </w:r>
          </w:p>
        </w:tc>
        <w:tc>
          <w:tcPr>
            <w:tcW w:w="6322" w:type="dxa"/>
          </w:tcPr>
          <w:p w:rsidR="00A96C07" w:rsidRPr="00A96C07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</w:t>
            </w:r>
            <w:hyperlink r:id="rId14" w:history="1"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 xml:space="preserve">PROC-IBR-EDIF </w:t>
              </w:r>
              <w:r w:rsidR="00AC2C54"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0</w:t>
              </w:r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37/2015</w:t>
              </w:r>
            </w:hyperlink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- </w:t>
            </w:r>
            <w:r w:rsidRPr="00A96C07">
              <w:rPr>
                <w:rFonts w:ascii="Garamond" w:hAnsi="Garamond" w:cs="Arial"/>
                <w:color w:val="000000"/>
                <w:sz w:val="28"/>
                <w:szCs w:val="28"/>
              </w:rPr>
              <w:t>Verificar a qualidade e a quantidade dos serviços na execução de estruturas de concreto armado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>.</w:t>
            </w:r>
          </w:p>
          <w:p w:rsidR="00A96C07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</w:t>
            </w:r>
            <w:hyperlink r:id="rId15" w:history="1"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 xml:space="preserve">PROC-IBR-EDIF </w:t>
              </w:r>
              <w:r w:rsidR="00AC2C54"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0</w:t>
              </w:r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38/2015</w:t>
              </w:r>
            </w:hyperlink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- </w:t>
            </w:r>
            <w:r w:rsidRPr="00A96C07">
              <w:rPr>
                <w:rFonts w:ascii="Garamond" w:hAnsi="Garamond" w:cs="Arial"/>
                <w:color w:val="000000"/>
                <w:sz w:val="28"/>
                <w:szCs w:val="28"/>
              </w:rPr>
              <w:t>Verificar a qualidade e a quantidade dos serviços na execução de revestimentos em paredes e tetos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>.</w:t>
            </w:r>
          </w:p>
          <w:p w:rsidR="00A96C07" w:rsidRPr="00A96C07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</w:t>
            </w:r>
            <w:hyperlink r:id="rId16" w:history="1"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PROC-IBR-EDIF 042/2015</w:t>
              </w:r>
            </w:hyperlink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- </w:t>
            </w:r>
            <w:r w:rsidRPr="00A96C07">
              <w:rPr>
                <w:rFonts w:ascii="Garamond" w:hAnsi="Garamond" w:cs="Arial"/>
                <w:color w:val="000000"/>
                <w:sz w:val="28"/>
                <w:szCs w:val="28"/>
              </w:rPr>
              <w:t>Verificar a qualidade e a quantidade dos serviços na execução de alvenaria de vedação interna e externa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>.</w:t>
            </w:r>
          </w:p>
          <w:p w:rsidR="00A96C07" w:rsidRPr="00A96C07" w:rsidRDefault="00A96C07" w:rsidP="00AC2C54">
            <w:pPr>
              <w:pStyle w:val="Textopadro"/>
              <w:spacing w:before="20" w:after="20"/>
              <w:ind w:left="232" w:hanging="232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</w:t>
            </w:r>
            <w:hyperlink r:id="rId17" w:history="1">
              <w:r w:rsidRPr="00B4133F">
                <w:rPr>
                  <w:rStyle w:val="Hyperlink"/>
                  <w:rFonts w:ascii="Garamond" w:hAnsi="Garamond" w:cs="Arial"/>
                  <w:b/>
                  <w:sz w:val="28"/>
                  <w:szCs w:val="28"/>
                </w:rPr>
                <w:t>PROC IBR EDIF 053/2015</w:t>
              </w:r>
            </w:hyperlink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- </w:t>
            </w:r>
            <w:r w:rsidRPr="00A96C07">
              <w:rPr>
                <w:rFonts w:ascii="Garamond" w:hAnsi="Garamond" w:cs="Arial"/>
                <w:color w:val="000000"/>
                <w:sz w:val="28"/>
                <w:szCs w:val="28"/>
              </w:rPr>
              <w:t>Verificar a qualidade e a quantidade dos serviços na execução de pisos e rodapés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>.</w:t>
            </w:r>
          </w:p>
          <w:p w:rsidR="00A96C07" w:rsidRPr="0025259B" w:rsidRDefault="00A96C07" w:rsidP="0025259B">
            <w:pPr>
              <w:pStyle w:val="Textopadr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</w:tr>
    </w:tbl>
    <w:p w:rsidR="00F1052C" w:rsidRPr="007906C6" w:rsidRDefault="00F1052C">
      <w:pPr>
        <w:rPr>
          <w:rFonts w:ascii="Garamond" w:hAnsi="Garamond" w:cs="Arial"/>
        </w:rPr>
      </w:pPr>
    </w:p>
    <w:sectPr w:rsidR="00F1052C" w:rsidRPr="007906C6" w:rsidSect="00C47885">
      <w:pgSz w:w="16840" w:h="11907" w:orient="landscape" w:code="9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CB" w:rsidRDefault="00C83ECB" w:rsidP="00D25357">
      <w:r>
        <w:separator/>
      </w:r>
    </w:p>
  </w:endnote>
  <w:endnote w:type="continuationSeparator" w:id="0">
    <w:p w:rsidR="00C83ECB" w:rsidRDefault="00C83ECB" w:rsidP="00D2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CB" w:rsidRDefault="00C83ECB" w:rsidP="00D25357">
      <w:r>
        <w:separator/>
      </w:r>
    </w:p>
  </w:footnote>
  <w:footnote w:type="continuationSeparator" w:id="0">
    <w:p w:rsidR="00C83ECB" w:rsidRDefault="00C83ECB" w:rsidP="00D2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B94"/>
    <w:multiLevelType w:val="hybridMultilevel"/>
    <w:tmpl w:val="BFD62B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A4C1B"/>
    <w:multiLevelType w:val="hybridMultilevel"/>
    <w:tmpl w:val="030639B0"/>
    <w:lvl w:ilvl="0" w:tplc="10F295EC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1" w:hanging="360"/>
      </w:pPr>
    </w:lvl>
    <w:lvl w:ilvl="2" w:tplc="0416001B" w:tentative="1">
      <w:start w:val="1"/>
      <w:numFmt w:val="lowerRoman"/>
      <w:lvlText w:val="%3."/>
      <w:lvlJc w:val="right"/>
      <w:pPr>
        <w:ind w:left="1891" w:hanging="180"/>
      </w:pPr>
    </w:lvl>
    <w:lvl w:ilvl="3" w:tplc="0416000F" w:tentative="1">
      <w:start w:val="1"/>
      <w:numFmt w:val="decimal"/>
      <w:lvlText w:val="%4."/>
      <w:lvlJc w:val="left"/>
      <w:pPr>
        <w:ind w:left="2611" w:hanging="360"/>
      </w:pPr>
    </w:lvl>
    <w:lvl w:ilvl="4" w:tplc="04160019" w:tentative="1">
      <w:start w:val="1"/>
      <w:numFmt w:val="lowerLetter"/>
      <w:lvlText w:val="%5."/>
      <w:lvlJc w:val="left"/>
      <w:pPr>
        <w:ind w:left="3331" w:hanging="360"/>
      </w:pPr>
    </w:lvl>
    <w:lvl w:ilvl="5" w:tplc="0416001B" w:tentative="1">
      <w:start w:val="1"/>
      <w:numFmt w:val="lowerRoman"/>
      <w:lvlText w:val="%6."/>
      <w:lvlJc w:val="right"/>
      <w:pPr>
        <w:ind w:left="4051" w:hanging="180"/>
      </w:pPr>
    </w:lvl>
    <w:lvl w:ilvl="6" w:tplc="0416000F" w:tentative="1">
      <w:start w:val="1"/>
      <w:numFmt w:val="decimal"/>
      <w:lvlText w:val="%7."/>
      <w:lvlJc w:val="left"/>
      <w:pPr>
        <w:ind w:left="4771" w:hanging="360"/>
      </w:pPr>
    </w:lvl>
    <w:lvl w:ilvl="7" w:tplc="04160019" w:tentative="1">
      <w:start w:val="1"/>
      <w:numFmt w:val="lowerLetter"/>
      <w:lvlText w:val="%8."/>
      <w:lvlJc w:val="left"/>
      <w:pPr>
        <w:ind w:left="5491" w:hanging="360"/>
      </w:pPr>
    </w:lvl>
    <w:lvl w:ilvl="8" w:tplc="0416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>
    <w:nsid w:val="086E2272"/>
    <w:multiLevelType w:val="hybridMultilevel"/>
    <w:tmpl w:val="07AC9B76"/>
    <w:lvl w:ilvl="0" w:tplc="F2F66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57E42"/>
    <w:multiLevelType w:val="hybridMultilevel"/>
    <w:tmpl w:val="E5CC45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52E"/>
    <w:multiLevelType w:val="hybridMultilevel"/>
    <w:tmpl w:val="E1B2EEBE"/>
    <w:lvl w:ilvl="0" w:tplc="4DF04F40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1" w:hanging="360"/>
      </w:pPr>
    </w:lvl>
    <w:lvl w:ilvl="2" w:tplc="0416001B" w:tentative="1">
      <w:start w:val="1"/>
      <w:numFmt w:val="lowerRoman"/>
      <w:lvlText w:val="%3."/>
      <w:lvlJc w:val="right"/>
      <w:pPr>
        <w:ind w:left="1891" w:hanging="180"/>
      </w:pPr>
    </w:lvl>
    <w:lvl w:ilvl="3" w:tplc="0416000F" w:tentative="1">
      <w:start w:val="1"/>
      <w:numFmt w:val="decimal"/>
      <w:lvlText w:val="%4."/>
      <w:lvlJc w:val="left"/>
      <w:pPr>
        <w:ind w:left="2611" w:hanging="360"/>
      </w:pPr>
    </w:lvl>
    <w:lvl w:ilvl="4" w:tplc="04160019" w:tentative="1">
      <w:start w:val="1"/>
      <w:numFmt w:val="lowerLetter"/>
      <w:lvlText w:val="%5."/>
      <w:lvlJc w:val="left"/>
      <w:pPr>
        <w:ind w:left="3331" w:hanging="360"/>
      </w:pPr>
    </w:lvl>
    <w:lvl w:ilvl="5" w:tplc="0416001B" w:tentative="1">
      <w:start w:val="1"/>
      <w:numFmt w:val="lowerRoman"/>
      <w:lvlText w:val="%6."/>
      <w:lvlJc w:val="right"/>
      <w:pPr>
        <w:ind w:left="4051" w:hanging="180"/>
      </w:pPr>
    </w:lvl>
    <w:lvl w:ilvl="6" w:tplc="0416000F" w:tentative="1">
      <w:start w:val="1"/>
      <w:numFmt w:val="decimal"/>
      <w:lvlText w:val="%7."/>
      <w:lvlJc w:val="left"/>
      <w:pPr>
        <w:ind w:left="4771" w:hanging="360"/>
      </w:pPr>
    </w:lvl>
    <w:lvl w:ilvl="7" w:tplc="04160019" w:tentative="1">
      <w:start w:val="1"/>
      <w:numFmt w:val="lowerLetter"/>
      <w:lvlText w:val="%8."/>
      <w:lvlJc w:val="left"/>
      <w:pPr>
        <w:ind w:left="5491" w:hanging="360"/>
      </w:pPr>
    </w:lvl>
    <w:lvl w:ilvl="8" w:tplc="0416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5">
    <w:nsid w:val="0D801644"/>
    <w:multiLevelType w:val="hybridMultilevel"/>
    <w:tmpl w:val="7CC2906C"/>
    <w:lvl w:ilvl="0" w:tplc="A1908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819C2"/>
    <w:multiLevelType w:val="hybridMultilevel"/>
    <w:tmpl w:val="BAC48164"/>
    <w:lvl w:ilvl="0" w:tplc="00980E20">
      <w:start w:val="1"/>
      <w:numFmt w:val="bullet"/>
      <w:lvlText w:val=""/>
      <w:lvlJc w:val="left"/>
      <w:pPr>
        <w:tabs>
          <w:tab w:val="num" w:pos="473"/>
        </w:tabs>
        <w:ind w:left="170" w:hanging="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5D3A4A"/>
    <w:multiLevelType w:val="hybridMultilevel"/>
    <w:tmpl w:val="2BE666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84E37"/>
    <w:multiLevelType w:val="hybridMultilevel"/>
    <w:tmpl w:val="45F09694"/>
    <w:lvl w:ilvl="0" w:tplc="140453E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18860D87"/>
    <w:multiLevelType w:val="hybridMultilevel"/>
    <w:tmpl w:val="3E386F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D55CB5"/>
    <w:multiLevelType w:val="hybridMultilevel"/>
    <w:tmpl w:val="E5905D56"/>
    <w:lvl w:ilvl="0" w:tplc="D2A244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5D36C2"/>
    <w:multiLevelType w:val="hybridMultilevel"/>
    <w:tmpl w:val="64385288"/>
    <w:lvl w:ilvl="0" w:tplc="7D407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D5900"/>
    <w:multiLevelType w:val="hybridMultilevel"/>
    <w:tmpl w:val="E66C43CC"/>
    <w:lvl w:ilvl="0" w:tplc="17D47C6E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>
    <w:nsid w:val="26F37615"/>
    <w:multiLevelType w:val="hybridMultilevel"/>
    <w:tmpl w:val="F342CA0E"/>
    <w:lvl w:ilvl="0" w:tplc="D60E8FE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992771"/>
    <w:multiLevelType w:val="hybridMultilevel"/>
    <w:tmpl w:val="92F07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4471F"/>
    <w:multiLevelType w:val="hybridMultilevel"/>
    <w:tmpl w:val="1EDEAF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E7535"/>
    <w:multiLevelType w:val="hybridMultilevel"/>
    <w:tmpl w:val="32C4E432"/>
    <w:lvl w:ilvl="0" w:tplc="E3D8613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551058"/>
    <w:multiLevelType w:val="hybridMultilevel"/>
    <w:tmpl w:val="BC361EB8"/>
    <w:lvl w:ilvl="0" w:tplc="C964B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ED2CA1"/>
    <w:multiLevelType w:val="hybridMultilevel"/>
    <w:tmpl w:val="06DCA990"/>
    <w:lvl w:ilvl="0" w:tplc="8838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44A6D"/>
    <w:multiLevelType w:val="hybridMultilevel"/>
    <w:tmpl w:val="D2EAE27A"/>
    <w:lvl w:ilvl="0" w:tplc="04627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5D2876"/>
    <w:multiLevelType w:val="hybridMultilevel"/>
    <w:tmpl w:val="EDA0D312"/>
    <w:lvl w:ilvl="0" w:tplc="0DBE855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F3745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DBE8550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E155A0"/>
    <w:multiLevelType w:val="hybridMultilevel"/>
    <w:tmpl w:val="8FD431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02263"/>
    <w:multiLevelType w:val="hybridMultilevel"/>
    <w:tmpl w:val="E306E03C"/>
    <w:lvl w:ilvl="0" w:tplc="E5906DD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F2B5A"/>
    <w:multiLevelType w:val="multilevel"/>
    <w:tmpl w:val="BF780AC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3FF4C2E"/>
    <w:multiLevelType w:val="hybridMultilevel"/>
    <w:tmpl w:val="7EECCC32"/>
    <w:lvl w:ilvl="0" w:tplc="A1A4B6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9017F0"/>
    <w:multiLevelType w:val="hybridMultilevel"/>
    <w:tmpl w:val="D3004EA8"/>
    <w:lvl w:ilvl="0" w:tplc="73C82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D45CA"/>
    <w:multiLevelType w:val="hybridMultilevel"/>
    <w:tmpl w:val="F45C18C0"/>
    <w:lvl w:ilvl="0" w:tplc="B7582182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7">
    <w:nsid w:val="46DE7710"/>
    <w:multiLevelType w:val="hybridMultilevel"/>
    <w:tmpl w:val="BCACABDA"/>
    <w:lvl w:ilvl="0" w:tplc="51383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7110CD"/>
    <w:multiLevelType w:val="hybridMultilevel"/>
    <w:tmpl w:val="73D42FEC"/>
    <w:lvl w:ilvl="0" w:tplc="56208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4D6D6D"/>
    <w:multiLevelType w:val="hybridMultilevel"/>
    <w:tmpl w:val="7A743C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A5E9F"/>
    <w:multiLevelType w:val="hybridMultilevel"/>
    <w:tmpl w:val="AF82925E"/>
    <w:lvl w:ilvl="0" w:tplc="BFC8D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FF34B4"/>
    <w:multiLevelType w:val="hybridMultilevel"/>
    <w:tmpl w:val="E2403BCC"/>
    <w:lvl w:ilvl="0" w:tplc="D0D27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B47205"/>
    <w:multiLevelType w:val="hybridMultilevel"/>
    <w:tmpl w:val="7D34AE22"/>
    <w:lvl w:ilvl="0" w:tplc="92404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4B1761"/>
    <w:multiLevelType w:val="hybridMultilevel"/>
    <w:tmpl w:val="0B02A7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078D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501CCC"/>
    <w:multiLevelType w:val="hybridMultilevel"/>
    <w:tmpl w:val="8B0E4098"/>
    <w:lvl w:ilvl="0" w:tplc="9926A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A44CDA"/>
    <w:multiLevelType w:val="hybridMultilevel"/>
    <w:tmpl w:val="0AFA9B32"/>
    <w:lvl w:ilvl="0" w:tplc="0140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7E4B0F"/>
    <w:multiLevelType w:val="hybridMultilevel"/>
    <w:tmpl w:val="705E2B1C"/>
    <w:lvl w:ilvl="0" w:tplc="49AA9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60F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8F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8C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81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40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89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6D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46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BD6164E"/>
    <w:multiLevelType w:val="hybridMultilevel"/>
    <w:tmpl w:val="45B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A2C97"/>
    <w:multiLevelType w:val="hybridMultilevel"/>
    <w:tmpl w:val="B4AA96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01E3C"/>
    <w:multiLevelType w:val="hybridMultilevel"/>
    <w:tmpl w:val="57AA6A00"/>
    <w:lvl w:ilvl="0" w:tplc="4A668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28"/>
  </w:num>
  <w:num w:numId="5">
    <w:abstractNumId w:val="8"/>
  </w:num>
  <w:num w:numId="6">
    <w:abstractNumId w:val="30"/>
  </w:num>
  <w:num w:numId="7">
    <w:abstractNumId w:val="31"/>
  </w:num>
  <w:num w:numId="8">
    <w:abstractNumId w:val="17"/>
  </w:num>
  <w:num w:numId="9">
    <w:abstractNumId w:val="35"/>
  </w:num>
  <w:num w:numId="10">
    <w:abstractNumId w:val="11"/>
  </w:num>
  <w:num w:numId="11">
    <w:abstractNumId w:val="25"/>
  </w:num>
  <w:num w:numId="12">
    <w:abstractNumId w:val="34"/>
  </w:num>
  <w:num w:numId="13">
    <w:abstractNumId w:val="27"/>
  </w:num>
  <w:num w:numId="14">
    <w:abstractNumId w:val="18"/>
  </w:num>
  <w:num w:numId="15">
    <w:abstractNumId w:val="10"/>
  </w:num>
  <w:num w:numId="16">
    <w:abstractNumId w:val="13"/>
  </w:num>
  <w:num w:numId="17">
    <w:abstractNumId w:val="26"/>
  </w:num>
  <w:num w:numId="18">
    <w:abstractNumId w:val="33"/>
  </w:num>
  <w:num w:numId="19">
    <w:abstractNumId w:val="32"/>
  </w:num>
  <w:num w:numId="20">
    <w:abstractNumId w:val="24"/>
  </w:num>
  <w:num w:numId="21">
    <w:abstractNumId w:val="5"/>
  </w:num>
  <w:num w:numId="22">
    <w:abstractNumId w:val="38"/>
  </w:num>
  <w:num w:numId="23">
    <w:abstractNumId w:val="9"/>
  </w:num>
  <w:num w:numId="24">
    <w:abstractNumId w:val="12"/>
  </w:num>
  <w:num w:numId="25">
    <w:abstractNumId w:val="39"/>
  </w:num>
  <w:num w:numId="26">
    <w:abstractNumId w:val="2"/>
  </w:num>
  <w:num w:numId="27">
    <w:abstractNumId w:val="19"/>
  </w:num>
  <w:num w:numId="28">
    <w:abstractNumId w:val="3"/>
  </w:num>
  <w:num w:numId="29">
    <w:abstractNumId w:val="0"/>
  </w:num>
  <w:num w:numId="30">
    <w:abstractNumId w:val="29"/>
  </w:num>
  <w:num w:numId="31">
    <w:abstractNumId w:val="7"/>
  </w:num>
  <w:num w:numId="32">
    <w:abstractNumId w:val="1"/>
  </w:num>
  <w:num w:numId="33">
    <w:abstractNumId w:val="4"/>
  </w:num>
  <w:num w:numId="34">
    <w:abstractNumId w:val="22"/>
  </w:num>
  <w:num w:numId="35">
    <w:abstractNumId w:val="15"/>
  </w:num>
  <w:num w:numId="36">
    <w:abstractNumId w:val="14"/>
  </w:num>
  <w:num w:numId="37">
    <w:abstractNumId w:val="37"/>
  </w:num>
  <w:num w:numId="38">
    <w:abstractNumId w:val="36"/>
  </w:num>
  <w:num w:numId="39">
    <w:abstractNumId w:val="21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CD"/>
    <w:rsid w:val="0000336E"/>
    <w:rsid w:val="000071EA"/>
    <w:rsid w:val="00013BE3"/>
    <w:rsid w:val="00015B9B"/>
    <w:rsid w:val="00015BE2"/>
    <w:rsid w:val="00042F4E"/>
    <w:rsid w:val="00046820"/>
    <w:rsid w:val="000613D8"/>
    <w:rsid w:val="000668E8"/>
    <w:rsid w:val="000757DA"/>
    <w:rsid w:val="00080B14"/>
    <w:rsid w:val="00080E49"/>
    <w:rsid w:val="0008396C"/>
    <w:rsid w:val="00083DD8"/>
    <w:rsid w:val="000848CF"/>
    <w:rsid w:val="00086A09"/>
    <w:rsid w:val="000A21F8"/>
    <w:rsid w:val="000A5028"/>
    <w:rsid w:val="000B1FFF"/>
    <w:rsid w:val="000B7A7A"/>
    <w:rsid w:val="000C7149"/>
    <w:rsid w:val="000D3715"/>
    <w:rsid w:val="000D5F90"/>
    <w:rsid w:val="000D70E8"/>
    <w:rsid w:val="000D77A5"/>
    <w:rsid w:val="000E4198"/>
    <w:rsid w:val="000E5712"/>
    <w:rsid w:val="000E5F38"/>
    <w:rsid w:val="000E7F5E"/>
    <w:rsid w:val="000F3D98"/>
    <w:rsid w:val="000F506D"/>
    <w:rsid w:val="00103140"/>
    <w:rsid w:val="00103D08"/>
    <w:rsid w:val="00106600"/>
    <w:rsid w:val="00113C77"/>
    <w:rsid w:val="001150D8"/>
    <w:rsid w:val="00123591"/>
    <w:rsid w:val="001424F6"/>
    <w:rsid w:val="00142922"/>
    <w:rsid w:val="00155132"/>
    <w:rsid w:val="00165F15"/>
    <w:rsid w:val="00166F3C"/>
    <w:rsid w:val="00166FEA"/>
    <w:rsid w:val="001679A9"/>
    <w:rsid w:val="00171F6B"/>
    <w:rsid w:val="00172847"/>
    <w:rsid w:val="001737EC"/>
    <w:rsid w:val="00174485"/>
    <w:rsid w:val="00174CC7"/>
    <w:rsid w:val="0017600A"/>
    <w:rsid w:val="00176057"/>
    <w:rsid w:val="00180B2A"/>
    <w:rsid w:val="00187AA6"/>
    <w:rsid w:val="00191086"/>
    <w:rsid w:val="0019113B"/>
    <w:rsid w:val="001914EF"/>
    <w:rsid w:val="0019232C"/>
    <w:rsid w:val="00192CF4"/>
    <w:rsid w:val="00195AB8"/>
    <w:rsid w:val="00195BB2"/>
    <w:rsid w:val="00197CBC"/>
    <w:rsid w:val="001B2126"/>
    <w:rsid w:val="001B2F07"/>
    <w:rsid w:val="001B36A7"/>
    <w:rsid w:val="001B3D64"/>
    <w:rsid w:val="001C502C"/>
    <w:rsid w:val="001C6C69"/>
    <w:rsid w:val="001D0C34"/>
    <w:rsid w:val="001D39ED"/>
    <w:rsid w:val="001E111C"/>
    <w:rsid w:val="001E6D20"/>
    <w:rsid w:val="001F018D"/>
    <w:rsid w:val="001F3CAD"/>
    <w:rsid w:val="002113AC"/>
    <w:rsid w:val="00222F79"/>
    <w:rsid w:val="0022408C"/>
    <w:rsid w:val="00225E88"/>
    <w:rsid w:val="00226B57"/>
    <w:rsid w:val="0023187D"/>
    <w:rsid w:val="00234E63"/>
    <w:rsid w:val="002373BD"/>
    <w:rsid w:val="0024364B"/>
    <w:rsid w:val="002465C7"/>
    <w:rsid w:val="0025259B"/>
    <w:rsid w:val="0025359B"/>
    <w:rsid w:val="00254DFF"/>
    <w:rsid w:val="0025672F"/>
    <w:rsid w:val="00261114"/>
    <w:rsid w:val="00265FD2"/>
    <w:rsid w:val="00270D2C"/>
    <w:rsid w:val="00280727"/>
    <w:rsid w:val="00283146"/>
    <w:rsid w:val="0028391D"/>
    <w:rsid w:val="002913B3"/>
    <w:rsid w:val="002936AE"/>
    <w:rsid w:val="002A4E6C"/>
    <w:rsid w:val="002A5CFF"/>
    <w:rsid w:val="002B3206"/>
    <w:rsid w:val="002B35E2"/>
    <w:rsid w:val="002B4844"/>
    <w:rsid w:val="002C2977"/>
    <w:rsid w:val="002C7336"/>
    <w:rsid w:val="002E03F8"/>
    <w:rsid w:val="002E34CC"/>
    <w:rsid w:val="002F0305"/>
    <w:rsid w:val="002F3F1B"/>
    <w:rsid w:val="002F4266"/>
    <w:rsid w:val="002F4D83"/>
    <w:rsid w:val="002F5CF2"/>
    <w:rsid w:val="00301DC1"/>
    <w:rsid w:val="00302FD9"/>
    <w:rsid w:val="00305B77"/>
    <w:rsid w:val="00306C8B"/>
    <w:rsid w:val="00310ADB"/>
    <w:rsid w:val="003167CA"/>
    <w:rsid w:val="00322AC5"/>
    <w:rsid w:val="00323064"/>
    <w:rsid w:val="00325A2A"/>
    <w:rsid w:val="00334556"/>
    <w:rsid w:val="0033732F"/>
    <w:rsid w:val="00342177"/>
    <w:rsid w:val="00346193"/>
    <w:rsid w:val="00357DF3"/>
    <w:rsid w:val="00362148"/>
    <w:rsid w:val="00364F91"/>
    <w:rsid w:val="00376E65"/>
    <w:rsid w:val="00381CA0"/>
    <w:rsid w:val="003854B2"/>
    <w:rsid w:val="00390F97"/>
    <w:rsid w:val="00391EB4"/>
    <w:rsid w:val="003932E7"/>
    <w:rsid w:val="003B0C79"/>
    <w:rsid w:val="003B216C"/>
    <w:rsid w:val="003C0813"/>
    <w:rsid w:val="003C23C5"/>
    <w:rsid w:val="003F3288"/>
    <w:rsid w:val="003F3D12"/>
    <w:rsid w:val="003F5FCB"/>
    <w:rsid w:val="0040510D"/>
    <w:rsid w:val="00411365"/>
    <w:rsid w:val="00423FAD"/>
    <w:rsid w:val="00425A02"/>
    <w:rsid w:val="00430483"/>
    <w:rsid w:val="004326FE"/>
    <w:rsid w:val="004343F5"/>
    <w:rsid w:val="00444DF8"/>
    <w:rsid w:val="0045464E"/>
    <w:rsid w:val="0046716B"/>
    <w:rsid w:val="00473CF0"/>
    <w:rsid w:val="00477AF9"/>
    <w:rsid w:val="00481DBE"/>
    <w:rsid w:val="004822AF"/>
    <w:rsid w:val="0049029D"/>
    <w:rsid w:val="004A2DFB"/>
    <w:rsid w:val="004B76F2"/>
    <w:rsid w:val="004C0DCB"/>
    <w:rsid w:val="004D0858"/>
    <w:rsid w:val="004D0C66"/>
    <w:rsid w:val="004D427D"/>
    <w:rsid w:val="004D6EFB"/>
    <w:rsid w:val="004D71AC"/>
    <w:rsid w:val="004E3A4F"/>
    <w:rsid w:val="004E3AD4"/>
    <w:rsid w:val="004F69E0"/>
    <w:rsid w:val="004F7BD4"/>
    <w:rsid w:val="004F7F31"/>
    <w:rsid w:val="00504760"/>
    <w:rsid w:val="00511E17"/>
    <w:rsid w:val="005300F3"/>
    <w:rsid w:val="00530BEE"/>
    <w:rsid w:val="00536823"/>
    <w:rsid w:val="00537E8D"/>
    <w:rsid w:val="005425DA"/>
    <w:rsid w:val="00543CD5"/>
    <w:rsid w:val="005449B1"/>
    <w:rsid w:val="00550D09"/>
    <w:rsid w:val="005532CE"/>
    <w:rsid w:val="00561103"/>
    <w:rsid w:val="00575B85"/>
    <w:rsid w:val="005837F4"/>
    <w:rsid w:val="00583ACD"/>
    <w:rsid w:val="005912E5"/>
    <w:rsid w:val="00593163"/>
    <w:rsid w:val="00594C43"/>
    <w:rsid w:val="0059651B"/>
    <w:rsid w:val="005A70E6"/>
    <w:rsid w:val="005B16F6"/>
    <w:rsid w:val="005B715D"/>
    <w:rsid w:val="005B725D"/>
    <w:rsid w:val="005C155F"/>
    <w:rsid w:val="005C59AE"/>
    <w:rsid w:val="005E6836"/>
    <w:rsid w:val="006038C7"/>
    <w:rsid w:val="0061097D"/>
    <w:rsid w:val="00610B99"/>
    <w:rsid w:val="00611A5B"/>
    <w:rsid w:val="006135D8"/>
    <w:rsid w:val="00613718"/>
    <w:rsid w:val="00613907"/>
    <w:rsid w:val="00642A7D"/>
    <w:rsid w:val="00657CD8"/>
    <w:rsid w:val="00660C66"/>
    <w:rsid w:val="00665E7D"/>
    <w:rsid w:val="00677F18"/>
    <w:rsid w:val="006854CF"/>
    <w:rsid w:val="006874E7"/>
    <w:rsid w:val="00690123"/>
    <w:rsid w:val="006912E6"/>
    <w:rsid w:val="00693FA8"/>
    <w:rsid w:val="00695767"/>
    <w:rsid w:val="006A2874"/>
    <w:rsid w:val="006A73FF"/>
    <w:rsid w:val="006B3074"/>
    <w:rsid w:val="006C06B4"/>
    <w:rsid w:val="006C2167"/>
    <w:rsid w:val="006C3C8A"/>
    <w:rsid w:val="006C4709"/>
    <w:rsid w:val="006C6348"/>
    <w:rsid w:val="006D304D"/>
    <w:rsid w:val="006E2349"/>
    <w:rsid w:val="006E74FA"/>
    <w:rsid w:val="006F5218"/>
    <w:rsid w:val="006F6E92"/>
    <w:rsid w:val="00700982"/>
    <w:rsid w:val="00704E2D"/>
    <w:rsid w:val="0070592F"/>
    <w:rsid w:val="00706C8B"/>
    <w:rsid w:val="007265CF"/>
    <w:rsid w:val="007378C1"/>
    <w:rsid w:val="00742A84"/>
    <w:rsid w:val="0074418F"/>
    <w:rsid w:val="00744383"/>
    <w:rsid w:val="0074452B"/>
    <w:rsid w:val="00744E34"/>
    <w:rsid w:val="007463E8"/>
    <w:rsid w:val="00753150"/>
    <w:rsid w:val="00755CA3"/>
    <w:rsid w:val="00755D4D"/>
    <w:rsid w:val="00757C65"/>
    <w:rsid w:val="00757C7F"/>
    <w:rsid w:val="00761DAB"/>
    <w:rsid w:val="00764B74"/>
    <w:rsid w:val="00764D77"/>
    <w:rsid w:val="00771058"/>
    <w:rsid w:val="00773E60"/>
    <w:rsid w:val="00773F3E"/>
    <w:rsid w:val="007749F0"/>
    <w:rsid w:val="007906C6"/>
    <w:rsid w:val="007966F8"/>
    <w:rsid w:val="007A1115"/>
    <w:rsid w:val="007A569A"/>
    <w:rsid w:val="007B3F39"/>
    <w:rsid w:val="007B456E"/>
    <w:rsid w:val="007B7F73"/>
    <w:rsid w:val="007C2F0D"/>
    <w:rsid w:val="007D3517"/>
    <w:rsid w:val="007E2E1E"/>
    <w:rsid w:val="007E7EC8"/>
    <w:rsid w:val="007F0C2C"/>
    <w:rsid w:val="007F0E27"/>
    <w:rsid w:val="007F1088"/>
    <w:rsid w:val="007F72E5"/>
    <w:rsid w:val="007F7D15"/>
    <w:rsid w:val="0080565F"/>
    <w:rsid w:val="00807594"/>
    <w:rsid w:val="00815E44"/>
    <w:rsid w:val="00817C9A"/>
    <w:rsid w:val="00823F18"/>
    <w:rsid w:val="008346CF"/>
    <w:rsid w:val="0083616F"/>
    <w:rsid w:val="00846D11"/>
    <w:rsid w:val="0084712E"/>
    <w:rsid w:val="0085465A"/>
    <w:rsid w:val="00854C6C"/>
    <w:rsid w:val="00857AF3"/>
    <w:rsid w:val="00866052"/>
    <w:rsid w:val="00874F1C"/>
    <w:rsid w:val="00884E91"/>
    <w:rsid w:val="00894E1E"/>
    <w:rsid w:val="00895650"/>
    <w:rsid w:val="00896116"/>
    <w:rsid w:val="008A2E28"/>
    <w:rsid w:val="008A421A"/>
    <w:rsid w:val="008A7FA1"/>
    <w:rsid w:val="008B1D49"/>
    <w:rsid w:val="008B1FB6"/>
    <w:rsid w:val="008B4EA3"/>
    <w:rsid w:val="008B5F29"/>
    <w:rsid w:val="008C4C4C"/>
    <w:rsid w:val="008C714F"/>
    <w:rsid w:val="008D1217"/>
    <w:rsid w:val="008D3E31"/>
    <w:rsid w:val="008D6391"/>
    <w:rsid w:val="008E336D"/>
    <w:rsid w:val="008E3A59"/>
    <w:rsid w:val="008E7908"/>
    <w:rsid w:val="00900F4C"/>
    <w:rsid w:val="0090317D"/>
    <w:rsid w:val="00912C16"/>
    <w:rsid w:val="00915979"/>
    <w:rsid w:val="00917CA8"/>
    <w:rsid w:val="00925149"/>
    <w:rsid w:val="00931DD6"/>
    <w:rsid w:val="00932804"/>
    <w:rsid w:val="0094118E"/>
    <w:rsid w:val="009447C6"/>
    <w:rsid w:val="00945FF1"/>
    <w:rsid w:val="00947274"/>
    <w:rsid w:val="0094755C"/>
    <w:rsid w:val="00950E1D"/>
    <w:rsid w:val="009513AF"/>
    <w:rsid w:val="00951C5E"/>
    <w:rsid w:val="00960551"/>
    <w:rsid w:val="0096635F"/>
    <w:rsid w:val="00966CD0"/>
    <w:rsid w:val="00967B47"/>
    <w:rsid w:val="0097231C"/>
    <w:rsid w:val="00984201"/>
    <w:rsid w:val="00986BFE"/>
    <w:rsid w:val="00995B65"/>
    <w:rsid w:val="009974E0"/>
    <w:rsid w:val="009A2299"/>
    <w:rsid w:val="009A6C57"/>
    <w:rsid w:val="009B1771"/>
    <w:rsid w:val="009B21F0"/>
    <w:rsid w:val="009C548C"/>
    <w:rsid w:val="009C56E0"/>
    <w:rsid w:val="009C5816"/>
    <w:rsid w:val="009D11B8"/>
    <w:rsid w:val="009D5650"/>
    <w:rsid w:val="009E570E"/>
    <w:rsid w:val="009E57B4"/>
    <w:rsid w:val="009E5FAF"/>
    <w:rsid w:val="009E7CE4"/>
    <w:rsid w:val="009F04B3"/>
    <w:rsid w:val="009F188A"/>
    <w:rsid w:val="009F3186"/>
    <w:rsid w:val="009F3B1D"/>
    <w:rsid w:val="00A056CB"/>
    <w:rsid w:val="00A132C0"/>
    <w:rsid w:val="00A25C8C"/>
    <w:rsid w:val="00A30DBA"/>
    <w:rsid w:val="00A3370A"/>
    <w:rsid w:val="00A3504A"/>
    <w:rsid w:val="00A3752A"/>
    <w:rsid w:val="00A426BC"/>
    <w:rsid w:val="00A42A80"/>
    <w:rsid w:val="00A43543"/>
    <w:rsid w:val="00A51F5E"/>
    <w:rsid w:val="00A52848"/>
    <w:rsid w:val="00A55CCF"/>
    <w:rsid w:val="00A62ABA"/>
    <w:rsid w:val="00A6760C"/>
    <w:rsid w:val="00A77642"/>
    <w:rsid w:val="00A83023"/>
    <w:rsid w:val="00A850F5"/>
    <w:rsid w:val="00A86151"/>
    <w:rsid w:val="00A91E8A"/>
    <w:rsid w:val="00A946AA"/>
    <w:rsid w:val="00A96C07"/>
    <w:rsid w:val="00AA0951"/>
    <w:rsid w:val="00AA221B"/>
    <w:rsid w:val="00AA39DB"/>
    <w:rsid w:val="00AA3C51"/>
    <w:rsid w:val="00AA3E32"/>
    <w:rsid w:val="00AA63AE"/>
    <w:rsid w:val="00AB0578"/>
    <w:rsid w:val="00AB1C3D"/>
    <w:rsid w:val="00AC181D"/>
    <w:rsid w:val="00AC2C54"/>
    <w:rsid w:val="00AC65E7"/>
    <w:rsid w:val="00AC71AE"/>
    <w:rsid w:val="00AD045F"/>
    <w:rsid w:val="00AD5A01"/>
    <w:rsid w:val="00AD6D21"/>
    <w:rsid w:val="00AE0E70"/>
    <w:rsid w:val="00AE2745"/>
    <w:rsid w:val="00AE3698"/>
    <w:rsid w:val="00B01715"/>
    <w:rsid w:val="00B07E44"/>
    <w:rsid w:val="00B14E32"/>
    <w:rsid w:val="00B308BE"/>
    <w:rsid w:val="00B31E67"/>
    <w:rsid w:val="00B40208"/>
    <w:rsid w:val="00B402D1"/>
    <w:rsid w:val="00B4133F"/>
    <w:rsid w:val="00B42B38"/>
    <w:rsid w:val="00B449CD"/>
    <w:rsid w:val="00B44C5E"/>
    <w:rsid w:val="00B45219"/>
    <w:rsid w:val="00B54915"/>
    <w:rsid w:val="00B56957"/>
    <w:rsid w:val="00B67ADC"/>
    <w:rsid w:val="00B7612C"/>
    <w:rsid w:val="00B77369"/>
    <w:rsid w:val="00B7759F"/>
    <w:rsid w:val="00B808EE"/>
    <w:rsid w:val="00B840D7"/>
    <w:rsid w:val="00B86B48"/>
    <w:rsid w:val="00B937CB"/>
    <w:rsid w:val="00BA176D"/>
    <w:rsid w:val="00BA6DAA"/>
    <w:rsid w:val="00BA7271"/>
    <w:rsid w:val="00BB1BB7"/>
    <w:rsid w:val="00BB2743"/>
    <w:rsid w:val="00BC2D64"/>
    <w:rsid w:val="00BC393F"/>
    <w:rsid w:val="00BD3575"/>
    <w:rsid w:val="00BD4CC1"/>
    <w:rsid w:val="00BD7DBD"/>
    <w:rsid w:val="00BE2395"/>
    <w:rsid w:val="00BF18DC"/>
    <w:rsid w:val="00C0094D"/>
    <w:rsid w:val="00C027A3"/>
    <w:rsid w:val="00C06915"/>
    <w:rsid w:val="00C076AF"/>
    <w:rsid w:val="00C11EFD"/>
    <w:rsid w:val="00C21E49"/>
    <w:rsid w:val="00C24F3D"/>
    <w:rsid w:val="00C26C7C"/>
    <w:rsid w:val="00C27A1C"/>
    <w:rsid w:val="00C377D0"/>
    <w:rsid w:val="00C412AF"/>
    <w:rsid w:val="00C4599E"/>
    <w:rsid w:val="00C47885"/>
    <w:rsid w:val="00C52525"/>
    <w:rsid w:val="00C52DC4"/>
    <w:rsid w:val="00C56460"/>
    <w:rsid w:val="00C57C95"/>
    <w:rsid w:val="00C6352F"/>
    <w:rsid w:val="00C70F08"/>
    <w:rsid w:val="00C72511"/>
    <w:rsid w:val="00C74C90"/>
    <w:rsid w:val="00C83ECB"/>
    <w:rsid w:val="00C96BB8"/>
    <w:rsid w:val="00CA498C"/>
    <w:rsid w:val="00CA5782"/>
    <w:rsid w:val="00CB1129"/>
    <w:rsid w:val="00CB15B5"/>
    <w:rsid w:val="00CB75CF"/>
    <w:rsid w:val="00CC350F"/>
    <w:rsid w:val="00CD4E05"/>
    <w:rsid w:val="00CE124D"/>
    <w:rsid w:val="00CE127B"/>
    <w:rsid w:val="00CE7E15"/>
    <w:rsid w:val="00CF3899"/>
    <w:rsid w:val="00CF54EA"/>
    <w:rsid w:val="00D030CC"/>
    <w:rsid w:val="00D03DE1"/>
    <w:rsid w:val="00D041FD"/>
    <w:rsid w:val="00D04A18"/>
    <w:rsid w:val="00D103B2"/>
    <w:rsid w:val="00D10505"/>
    <w:rsid w:val="00D123FD"/>
    <w:rsid w:val="00D14205"/>
    <w:rsid w:val="00D25357"/>
    <w:rsid w:val="00D26D53"/>
    <w:rsid w:val="00D309BA"/>
    <w:rsid w:val="00D33B63"/>
    <w:rsid w:val="00D4714F"/>
    <w:rsid w:val="00D55349"/>
    <w:rsid w:val="00D65285"/>
    <w:rsid w:val="00D71D1A"/>
    <w:rsid w:val="00D804D2"/>
    <w:rsid w:val="00D816CF"/>
    <w:rsid w:val="00D82FDF"/>
    <w:rsid w:val="00D844B1"/>
    <w:rsid w:val="00D87B05"/>
    <w:rsid w:val="00DA03B7"/>
    <w:rsid w:val="00DA3610"/>
    <w:rsid w:val="00DA5F21"/>
    <w:rsid w:val="00DA6946"/>
    <w:rsid w:val="00DB20C4"/>
    <w:rsid w:val="00DB3C19"/>
    <w:rsid w:val="00DD511A"/>
    <w:rsid w:val="00DD511E"/>
    <w:rsid w:val="00DD5F65"/>
    <w:rsid w:val="00DD76F2"/>
    <w:rsid w:val="00DE2DEE"/>
    <w:rsid w:val="00DE56E4"/>
    <w:rsid w:val="00DE7586"/>
    <w:rsid w:val="00DF27A1"/>
    <w:rsid w:val="00E0175A"/>
    <w:rsid w:val="00E0382A"/>
    <w:rsid w:val="00E043DD"/>
    <w:rsid w:val="00E06AEE"/>
    <w:rsid w:val="00E165B2"/>
    <w:rsid w:val="00E17ECE"/>
    <w:rsid w:val="00E2181F"/>
    <w:rsid w:val="00E24C24"/>
    <w:rsid w:val="00E27580"/>
    <w:rsid w:val="00E37CA5"/>
    <w:rsid w:val="00E37D6A"/>
    <w:rsid w:val="00E42E31"/>
    <w:rsid w:val="00E4764F"/>
    <w:rsid w:val="00E52468"/>
    <w:rsid w:val="00E53183"/>
    <w:rsid w:val="00E53C22"/>
    <w:rsid w:val="00E53F5C"/>
    <w:rsid w:val="00E65C5A"/>
    <w:rsid w:val="00E67648"/>
    <w:rsid w:val="00E7186E"/>
    <w:rsid w:val="00E748D2"/>
    <w:rsid w:val="00E91536"/>
    <w:rsid w:val="00E959D4"/>
    <w:rsid w:val="00EA3A86"/>
    <w:rsid w:val="00EA604B"/>
    <w:rsid w:val="00EB18C3"/>
    <w:rsid w:val="00EB6448"/>
    <w:rsid w:val="00EC428C"/>
    <w:rsid w:val="00EC4DEE"/>
    <w:rsid w:val="00EC5AF0"/>
    <w:rsid w:val="00ED1A36"/>
    <w:rsid w:val="00ED2153"/>
    <w:rsid w:val="00ED6B40"/>
    <w:rsid w:val="00ED7401"/>
    <w:rsid w:val="00EE2403"/>
    <w:rsid w:val="00EE326E"/>
    <w:rsid w:val="00EE32C8"/>
    <w:rsid w:val="00EE4516"/>
    <w:rsid w:val="00EF4D6E"/>
    <w:rsid w:val="00F02AC5"/>
    <w:rsid w:val="00F10095"/>
    <w:rsid w:val="00F1052C"/>
    <w:rsid w:val="00F21602"/>
    <w:rsid w:val="00F23918"/>
    <w:rsid w:val="00F23D0D"/>
    <w:rsid w:val="00F2702D"/>
    <w:rsid w:val="00F41E1D"/>
    <w:rsid w:val="00F45475"/>
    <w:rsid w:val="00F54CC2"/>
    <w:rsid w:val="00F6400B"/>
    <w:rsid w:val="00F7488C"/>
    <w:rsid w:val="00F85FDE"/>
    <w:rsid w:val="00F86DEE"/>
    <w:rsid w:val="00F9061E"/>
    <w:rsid w:val="00F90648"/>
    <w:rsid w:val="00F93829"/>
    <w:rsid w:val="00F95FA2"/>
    <w:rsid w:val="00F96701"/>
    <w:rsid w:val="00F96FE1"/>
    <w:rsid w:val="00FB4029"/>
    <w:rsid w:val="00FB45F2"/>
    <w:rsid w:val="00FB5B75"/>
    <w:rsid w:val="00FC2D0F"/>
    <w:rsid w:val="00FC3D9C"/>
    <w:rsid w:val="00FE3C60"/>
    <w:rsid w:val="00FE3E0B"/>
    <w:rsid w:val="00FF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1">
    <w:name w:val="Texto padrão:1"/>
    <w:basedOn w:val="Normal"/>
    <w:rsid w:val="00A132C0"/>
    <w:pPr>
      <w:autoSpaceDE w:val="0"/>
      <w:autoSpaceDN w:val="0"/>
      <w:adjustRightInd w:val="0"/>
      <w:spacing w:line="240" w:lineRule="exact"/>
    </w:pPr>
  </w:style>
  <w:style w:type="paragraph" w:customStyle="1" w:styleId="Textopadro">
    <w:name w:val="Texto padrão"/>
    <w:basedOn w:val="Normal"/>
    <w:rsid w:val="00A132C0"/>
    <w:pPr>
      <w:autoSpaceDE w:val="0"/>
      <w:autoSpaceDN w:val="0"/>
      <w:adjustRightInd w:val="0"/>
    </w:pPr>
  </w:style>
  <w:style w:type="paragraph" w:styleId="Corpodetexto">
    <w:name w:val="Body Text"/>
    <w:basedOn w:val="Normal"/>
    <w:semiHidden/>
    <w:rsid w:val="00A132C0"/>
    <w:pPr>
      <w:tabs>
        <w:tab w:val="left" w:pos="1418"/>
      </w:tabs>
      <w:overflowPunct w:val="0"/>
      <w:autoSpaceDE w:val="0"/>
      <w:autoSpaceDN w:val="0"/>
      <w:adjustRightInd w:val="0"/>
      <w:ind w:right="282"/>
      <w:jc w:val="both"/>
      <w:textAlignment w:val="baseline"/>
    </w:pPr>
    <w:rPr>
      <w:rFonts w:ascii="Arial" w:hAnsi="Arial" w:cs="Arial"/>
      <w:color w:val="000000"/>
      <w:szCs w:val="20"/>
    </w:rPr>
  </w:style>
  <w:style w:type="character" w:styleId="Forte">
    <w:name w:val="Strong"/>
    <w:basedOn w:val="Fontepargpadro"/>
    <w:qFormat/>
    <w:rsid w:val="00F45475"/>
    <w:rPr>
      <w:b/>
      <w:bCs/>
    </w:rPr>
  </w:style>
  <w:style w:type="paragraph" w:styleId="NormalWeb">
    <w:name w:val="Normal (Web)"/>
    <w:basedOn w:val="Normal"/>
    <w:unhideWhenUsed/>
    <w:rsid w:val="000D5F9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D5F90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083DD8"/>
    <w:pPr>
      <w:ind w:left="720"/>
      <w:contextualSpacing/>
    </w:pPr>
  </w:style>
  <w:style w:type="table" w:styleId="Tabelacomgrade">
    <w:name w:val="Table Grid"/>
    <w:basedOn w:val="Tabelanormal"/>
    <w:uiPriority w:val="59"/>
    <w:rsid w:val="00F105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253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357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D253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535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F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F5E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823F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226B57"/>
  </w:style>
  <w:style w:type="character" w:styleId="HiperlinkVisitado">
    <w:name w:val="FollowedHyperlink"/>
    <w:basedOn w:val="Fontepargpadro"/>
    <w:uiPriority w:val="99"/>
    <w:semiHidden/>
    <w:unhideWhenUsed/>
    <w:rsid w:val="00F96F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1">
    <w:name w:val="Texto padrão:1"/>
    <w:basedOn w:val="Normal"/>
    <w:rsid w:val="00A132C0"/>
    <w:pPr>
      <w:autoSpaceDE w:val="0"/>
      <w:autoSpaceDN w:val="0"/>
      <w:adjustRightInd w:val="0"/>
      <w:spacing w:line="240" w:lineRule="exact"/>
    </w:pPr>
  </w:style>
  <w:style w:type="paragraph" w:customStyle="1" w:styleId="Textopadro">
    <w:name w:val="Texto padrão"/>
    <w:basedOn w:val="Normal"/>
    <w:rsid w:val="00A132C0"/>
    <w:pPr>
      <w:autoSpaceDE w:val="0"/>
      <w:autoSpaceDN w:val="0"/>
      <w:adjustRightInd w:val="0"/>
    </w:pPr>
  </w:style>
  <w:style w:type="paragraph" w:styleId="Corpodetexto">
    <w:name w:val="Body Text"/>
    <w:basedOn w:val="Normal"/>
    <w:semiHidden/>
    <w:rsid w:val="00A132C0"/>
    <w:pPr>
      <w:tabs>
        <w:tab w:val="left" w:pos="1418"/>
      </w:tabs>
      <w:overflowPunct w:val="0"/>
      <w:autoSpaceDE w:val="0"/>
      <w:autoSpaceDN w:val="0"/>
      <w:adjustRightInd w:val="0"/>
      <w:ind w:right="282"/>
      <w:jc w:val="both"/>
      <w:textAlignment w:val="baseline"/>
    </w:pPr>
    <w:rPr>
      <w:rFonts w:ascii="Arial" w:hAnsi="Arial" w:cs="Arial"/>
      <w:color w:val="000000"/>
      <w:szCs w:val="20"/>
    </w:rPr>
  </w:style>
  <w:style w:type="character" w:styleId="Forte">
    <w:name w:val="Strong"/>
    <w:basedOn w:val="Fontepargpadro"/>
    <w:qFormat/>
    <w:rsid w:val="00F45475"/>
    <w:rPr>
      <w:b/>
      <w:bCs/>
    </w:rPr>
  </w:style>
  <w:style w:type="paragraph" w:styleId="NormalWeb">
    <w:name w:val="Normal (Web)"/>
    <w:basedOn w:val="Normal"/>
    <w:unhideWhenUsed/>
    <w:rsid w:val="000D5F9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D5F90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083DD8"/>
    <w:pPr>
      <w:ind w:left="720"/>
      <w:contextualSpacing/>
    </w:pPr>
  </w:style>
  <w:style w:type="table" w:styleId="Tabelacomgrade">
    <w:name w:val="Table Grid"/>
    <w:basedOn w:val="Tabelanormal"/>
    <w:uiPriority w:val="59"/>
    <w:rsid w:val="00F105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253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357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D253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535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F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F5E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823F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226B57"/>
  </w:style>
  <w:style w:type="character" w:styleId="HiperlinkVisitado">
    <w:name w:val="FollowedHyperlink"/>
    <w:basedOn w:val="Fontepargpadro"/>
    <w:uiPriority w:val="99"/>
    <w:semiHidden/>
    <w:unhideWhenUsed/>
    <w:rsid w:val="00F96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ROVADO-PROC%20IBR%20EDIF%20053-2015%20-%20Execu&#231;&#227;o%20de%20pisos%20e%20rodap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ROVADO-PROC%20IBR%20EDIF%20042-2015%20-%20Execu&#231;&#227;o%20de%20Alvenaria%20de%20veda&#231;&#227;o.pdf" TargetMode="External"/><Relationship Id="rId17" Type="http://schemas.openxmlformats.org/officeDocument/2006/relationships/hyperlink" Target="file:///C:\Users\4508025\Downloads\PROC-IBR-EDIF-053-201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4508025\Downloads\PROC-IBR-EDIF-042-201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ROVADO-PROC%20IBR%20EDIF%20038-2015%20-%20Execu&#231;&#227;o%20de%20revestimentos%20em%20paredes%20e%20tetos.pd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4508025\Downloads\PROC-IBR-EDIF-038-2015.pdf" TargetMode="External"/><Relationship Id="rId10" Type="http://schemas.openxmlformats.org/officeDocument/2006/relationships/hyperlink" Target="APROVADO-PROC%20IBR%20EDIF%20037-2015%20-%20Execu&#231;&#227;o%20Estrutura%20de%20Concreto%20Armado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file:///C:\Users\4508025\Downloads\PROC-IBR-EDIF-037-201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BBA2-D872-4B05-847F-76783A0F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Administrador</cp:lastModifiedBy>
  <cp:revision>7</cp:revision>
  <cp:lastPrinted>2010-07-13T18:16:00Z</cp:lastPrinted>
  <dcterms:created xsi:type="dcterms:W3CDTF">2016-06-27T18:57:00Z</dcterms:created>
  <dcterms:modified xsi:type="dcterms:W3CDTF">2018-08-10T10:52:00Z</dcterms:modified>
</cp:coreProperties>
</file>